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0" distB="0" distL="114300">
            <wp:extent cy="299085" cx="2282825"/>
            <wp:effectExtent t="0" b="0" r="0" l="0"/>
            <wp:docPr id="1" name="image01.jpg" descr="topakustik_klein"/>
            <a:graphic>
              <a:graphicData uri="http://schemas.openxmlformats.org/drawingml/2006/picture">
                <pic:pic>
                  <pic:nvPicPr>
                    <pic:cNvPr id="0" name="image01.jpg" descr="topakustik_klein"/>
                    <pic:cNvPicPr preferRelativeResize="0"/>
                  </pic:nvPicPr>
                  <pic:blipFill>
                    <a:blip r:embed="rId5"/>
                    <a:srcRect t="0" b="0" r="0" l="0"/>
                    <a:stretch>
                      <a:fillRect/>
                    </a:stretch>
                  </pic:blipFill>
                  <pic:spPr>
                    <a:xfrm>
                      <a:off y="0" x="0"/>
                      <a:ext cy="299085" cx="2282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Topakustik Planks – All areas in </w:t>
      </w:r>
      <w:r w:rsidRPr="00000000" w:rsidR="00000000" w:rsidDel="00000000">
        <w:rPr>
          <w:b w:val="1"/>
          <w:color w:val="00b0f0"/>
          <w:rtl w:val="0"/>
        </w:rPr>
        <w:t xml:space="preserve">blue </w:t>
      </w:r>
      <w:r w:rsidRPr="00000000" w:rsidR="00000000" w:rsidDel="00000000">
        <w:rPr>
          <w:b w:val="1"/>
          <w:rtl w:val="0"/>
        </w:rPr>
        <w:t xml:space="preserve">are to be modified per your individual project</w:t>
      </w:r>
    </w:p>
    <w:p w:rsidP="00000000" w:rsidRPr="00000000" w:rsidR="00000000" w:rsidDel="00000000" w:rsidRDefault="00000000">
      <w:pPr>
        <w:contextualSpacing w:val="0"/>
      </w:pPr>
      <w:r w:rsidRPr="00000000" w:rsidR="00000000" w:rsidDel="00000000">
        <w:rPr>
          <w:rtl w:val="0"/>
        </w:rPr>
        <w:t xml:space="preserve">Guide Specification for 09 84 13/09 84 33/09 84 36/09 51 26/09 54 26</w:t>
      </w:r>
    </w:p>
    <w:p w:rsidP="00000000" w:rsidRPr="00000000" w:rsidR="00000000" w:rsidDel="00000000" w:rsidRDefault="00000000">
      <w:pPr>
        <w:contextualSpacing w:val="0"/>
      </w:pPr>
      <w:r w:rsidRPr="00000000" w:rsidR="00000000" w:rsidDel="00000000">
        <w:rPr>
          <w:rtl w:val="0"/>
        </w:rPr>
        <w:t xml:space="preserve">PART 1 – GENERAL</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Description of Scope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Acoustic wood tongue and groove planks, with groove on face and perforation on rear, with either wood veneer, melamine, or paint finish</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Mounting system as described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bookmarkStart w:id="0" w:colFirst="0" w:name="h.gjdgxs" w:colLast="0"/>
      <w:bookmarkEnd w:id="0"/>
      <w:r w:rsidRPr="00000000" w:rsidR="00000000" w:rsidDel="00000000">
        <w:rPr>
          <w:rFonts w:cs="Calibri" w:hAnsi="Calibri" w:eastAsia="Calibri" w:ascii="Calibri"/>
          <w:b w:val="0"/>
          <w:sz w:val="22"/>
          <w:rtl w:val="0"/>
        </w:rPr>
        <w:t xml:space="preserve">Trim and accessories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Work by Other</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tl w:val="0"/>
        </w:rPr>
        <w:t xml:space="preserve">C</w:t>
      </w:r>
      <w:r w:rsidRPr="00000000" w:rsidR="00000000" w:rsidDel="00000000">
        <w:rPr>
          <w:rFonts w:cs="Calibri" w:hAnsi="Calibri" w:eastAsia="Calibri" w:ascii="Calibri"/>
          <w:b w:val="0"/>
          <w:sz w:val="22"/>
          <w:rtl w:val="0"/>
        </w:rPr>
        <w:t xml:space="preserve">eiling structure, including any substrates or supporting structure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Electrical fixtures, Lighting fixtures, and mechanical fixtures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Fiberglass or mineral wool behind acoustic wood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Custom trim or hardware not provided by Topakustik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Sections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06 40 00 – Architectural Woodwork</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20 00 – Plaster and Gypsum Board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51 00 – Acoustical Ceilings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53 00 – Acoustical Ceiling Suspension Assemblies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82 00 – Acoustical Treatment</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15 Sections – Mechanical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16 Sections – Electrical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17 Sections – AV</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21 Sections – Fire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Alternates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References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A 641: Standard Specification for Zinc Coated (Galvanized) Carbon Steel Wire; 1992.</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423: Standard Test Method for Sound Absorption and Sound Absorption Coefficients by the Reverberation Room Method; 1990.</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635: Standard Specifications for Metal Suspension Systems for Acoustical Tile and Lay-In Panel Ceilings.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636: Standard Practice for Installation of Metal Ceiling Suspension Systems for Acoustical Tile and Lay-in Panels; 1992.</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84: Standard Test Method for Surface Burning Characteristics of Building Materials;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580: Standard Practice for Application of Ceiling Suspension Systems for Acoustical Tile and Lay-in Panels in Areas Requiring Seismic Restraint;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AWI (QSI): Architectural Woodwork Quality Standards Illustrated; 2003. </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CISCA: Ceiling Systems Handbook.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System Description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Dual method sound absorption through tuned resonant absorption and open area transmission of sound to fiberglass behind. Additional low frequency absorption can be provided through specification below by means of a dual diameter rear perforation (T hole).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Performance Requirements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must meet performance data as indicated below and measured according to ASTM C423 or ISO 354. Typical patterns of Topakustik materials are listed with the solid area (in mm)/slot width (in mm) and are followed with either the letter M (single diameter hole), T (dual diameter hole) or R (no rear perforation). Random incidence absorption data in third-octave bands for all typical Topakustik patterns are as follows:</w:t>
      </w:r>
      <w:r w:rsidRPr="00000000" w:rsidR="00000000" w:rsidDel="00000000">
        <w:rPr>
          <w:rtl w:val="0"/>
        </w:rPr>
      </w:r>
    </w:p>
    <w:tbl>
      <w:tblPr>
        <w:tblStyle w:val="Table1"/>
        <w:bidiVisual w:val="0"/>
        <w:tblW w:w="8100.0" w:type="dxa"/>
        <w:jc w:val="left"/>
        <w:tblInd w:w="713.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720"/>
        <w:gridCol w:w="630"/>
        <w:gridCol w:w="720"/>
        <w:gridCol w:w="1116"/>
        <w:gridCol w:w="684"/>
        <w:gridCol w:w="720"/>
        <w:gridCol w:w="630"/>
        <w:gridCol w:w="720"/>
        <w:gridCol w:w="720"/>
        <w:gridCol w:w="720"/>
        <w:gridCol w:w="720"/>
        <w:tblGridChange w:id="0">
          <w:tblGrid>
            <w:gridCol w:w="720"/>
            <w:gridCol w:w="630"/>
            <w:gridCol w:w="720"/>
            <w:gridCol w:w="1116"/>
            <w:gridCol w:w="684"/>
            <w:gridCol w:w="720"/>
            <w:gridCol w:w="630"/>
            <w:gridCol w:w="720"/>
            <w:gridCol w:w="720"/>
            <w:gridCol w:w="720"/>
            <w:gridCol w:w="720"/>
          </w:tblGrid>
        </w:tblGridChange>
      </w:tblGrid>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Topakustik (Surface Mount – 2”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Solid</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Slot</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r>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Topakustik (Cavity/Suspended Mount – 8.5”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Solid</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Slot</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0.40</w:t>
            </w:r>
          </w:p>
        </w:tc>
      </w:tr>
    </w:tbl>
    <w:p w:rsidP="00000000" w:rsidRPr="00000000" w:rsidR="00000000" w:rsidDel="00000000" w:rsidRDefault="00000000">
      <w:pPr>
        <w:ind w:left="432" w:firstLine="0"/>
        <w:contextualSpacing w:val="0"/>
      </w:pP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Quality Assurance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Manufacturer Qualifications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Manufacturers other than those listed in Paragraph 2.1 are required to submit for approval prior to bidding per Section One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Qualifications</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for material must be an experienced installer approved by the wood acoustical product manufacturer. It is p</w:t>
      </w:r>
      <w:r w:rsidRPr="00000000" w:rsidR="00000000" w:rsidDel="00000000">
        <w:rPr>
          <w:rtl w:val="0"/>
        </w:rPr>
        <w:t xml:space="preserve">referred that the installer be certified by manufacturer.</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completed similar projects in design and extent to that indicated for this project with a record of successful in-service performance</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at least 3 years of experience in similar project work</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Inspection</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work must past local codes and regulations or authorities that have jurisdiction over the project as well as inspection and approval of the architect.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Single-Source Responsibility</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wood acoustic materials must be sourced from a single fabricator with in-house shop drawing capabilities, in-house finishing and assembly, and with resources to provide products of consistent quality in appearance and physical properties without delaying the project.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Standards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 shall conform to Architectural Woodworking Institute quality standards.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Fire Performance Characteristics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Panels provided must have surface burning characteristics as determined by testing panel components in accordance with ASTM E84 test procedures. Depending on material core specified they must comply with the following:</w:t>
      </w:r>
      <w:r w:rsidRPr="00000000" w:rsidR="00000000" w:rsidDel="00000000">
        <w:rPr>
          <w:rtl w:val="0"/>
        </w:rPr>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A (or 1) – Fire rated medium density fiberboard (MDF) B1 core with maximum flame spread rating: 25 and maximum smoke developed: 450</w:t>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C (or 3) – Normally flammable MDF B2 core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of Work</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Coordinate installation of acoustical material with installers of related work including, but not limited to, building insulation, gypsum board, light fixtures, mechanical systems, electrical systems, and sprinklers.</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Submittals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Product Data – Submit manufacturer’s technical data circling all applicable components for the specified product. For each unique item or type of material specified in this section a separate sheet shall be submitted.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Samples – Submit physical samples of product to be supplied on the project that are typical of the veneer, finish, cut, and type specified. Sample shall be standard plank width and at least 6” in length</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and should define all attachments and perimeter circumstances. Coordinate drawings with any other trades that interact with the specified material. Field verify site conditions as required with dimensions on drawings.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Certifications – Submit certifications from independent laboratories to prove that material is meeting the specification.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Project Conditions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humidity must be between 35%-60%.  Do NOT install products if humidity exceeds 65%.</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temperature must be maintained between 64° and 85°F</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Delivery, Storage, and Handling</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crate sizes, weights, unloading options and delivery schedule with manufacturer prior to fabrication.</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Before installing, product must acclimate in intended installation area and must be done at the intended operational temperature and humidity. This procedure of acclimatization is a length of at least 72 hours.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Handle products with proper care to avoid chipping edges, scratching the surface, scuffing the material, denting the material, or damaging the units in any way.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 installed product from any other trade work that must be completed in or around the area of installation.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Warranty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Contractor shall warrant all work for one (1) year from final acceptance of completed work.</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Components used in the system that are not provided by manufacturer are not included in the manufacturer’s warranty. If material is installed in any method other than that which is suggested and required by manufacturer, warranty will not apply.</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Maintenance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Extra material is not included unless explicitly stated in quotation. If provided, materials must remain in original packaging and supplied to owner upon completion of project.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PART 2 – PRODUCTS</w:t>
        <w:br w:type="textWrapping"/>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Manufacturer</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Topakustik as manufactured by Topakustik®, NH Akustik + Design AG, 410-849-4333, </w:t>
      </w:r>
      <w:hyperlink r:id="rId6">
        <w:r w:rsidRPr="00000000" w:rsidR="00000000" w:rsidDel="00000000">
          <w:rPr>
            <w:rFonts w:cs="Calibri" w:hAnsi="Calibri" w:eastAsia="Calibri" w:ascii="Calibri"/>
            <w:b w:val="0"/>
            <w:color w:val="0563c1"/>
            <w:sz w:val="22"/>
            <w:u w:val="single"/>
            <w:rtl w:val="0"/>
          </w:rPr>
          <w:t xml:space="preserve">www.topakustik.com</w:t>
        </w:r>
      </w:hyperlink>
      <w:hyperlink r:id="rId7">
        <w:r w:rsidRPr="00000000" w:rsidR="00000000" w:rsidDel="00000000">
          <w:rPr>
            <w:rtl w:val="0"/>
          </w:rPr>
        </w:r>
      </w:hyperlink>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Product Type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Topakustik Plank – tongue and groove connection</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Face profile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Standard options: 5/3, 6/2, 8/3, 9/2, 12/4, 13/3, 14/2, 28/4, 29/3, 30/2 </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Where the first number describes the distance between grooves and the second number describes the width of the groove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Rear perforation as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M-hole perforation – single hole diameter from rear of plank to meet groove profile.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T-hole perforation – dual diameter holes on rear of panel.  Smaller diameter hole meeting face of groove and larger diameter hole at rear of panel. This option will serve to increase low frequency absorption performance.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Reflective – No rear perforations behind face grooving. This option will have no acoustical absorption properties.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Core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Class A fire rated medium density fiberboard (MDF) core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Normally flammable MDF core (without fire retardant agents) meeting Class C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Noncombustible Recycled Gypsum core identified as Resap®</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Additional Core options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substrate material shall or shall not be made with no-added urea formaldehyde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material will or will not be FSC Mix Credit. If FSC is chosen, the Chain of Custody certificate will or will not be required.</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Core shall have Formaldehyde Emission Standard of E0 (European Standard) such that formaldehyde emissions must be equal to or less than 0.07 ppm.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shall be Programme for the Endorsement of Forest Certification (PEFC) Certified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Surface</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Veneer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Wood species – as selected by architect (please indicate FSC or not)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Grain cut – (e.g. quartered, plain, rift, rotary, etc.), Note Grain direction is only available to run in direction of length and grooves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Melamine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Beech (xxx), Maple (xxx), or White (xxx)</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metallic (xxx)</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laminate as selected by architect (subject to additional cost)</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Paint finish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RAL #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paint color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Optional clear coat protective varnish over paint finish as specified by architect (recommended for wall areas)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Finish</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If veneer, choose from the following:</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Natural lacquer with matt finish</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Clear coat with gloss as specified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Stain color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Tinted varnish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Or unfinished.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size shall be </w:t>
      </w:r>
      <w:r w:rsidRPr="00000000" w:rsidR="00000000" w:rsidDel="00000000">
        <w:rPr>
          <w:rFonts w:cs="Calibri" w:hAnsi="Calibri" w:eastAsia="Calibri" w:ascii="Calibri"/>
          <w:b w:val="0"/>
          <w:color w:val="00b0f0"/>
          <w:sz w:val="22"/>
          <w:rtl w:val="0"/>
        </w:rPr>
        <w:t xml:space="preserve">xx” length (xx mm) </w:t>
      </w:r>
      <w:r w:rsidRPr="00000000" w:rsidR="00000000" w:rsidDel="00000000">
        <w:rPr>
          <w:rFonts w:cs="Calibri" w:hAnsi="Calibri" w:eastAsia="Calibri" w:ascii="Calibri"/>
          <w:b w:val="0"/>
          <w:sz w:val="22"/>
          <w:rtl w:val="0"/>
        </w:rPr>
        <w:t xml:space="preserve">and plank width standard is 128 mm (5.04”)</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Edge conditions to be as follows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Long edges shall be fitted with tongue or groove such that each plank is fitted with both</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Short edges shall be cut at a 90° angle with no finish and perforations will be cut through and visible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Optional end plank with one long edge (please specify tongue or groove edge) to be finished with veneer and/or other face finish and will not be treated with any milling cut.  (Note that short edge is not available for this option)</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Backing: Black, nonwoven glass fiber matt (60 g/m2 density) shall be adhered to rear of panel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Acoustic insulation to be included b</w:t>
      </w:r>
      <w:r w:rsidRPr="00000000" w:rsidR="00000000" w:rsidDel="00000000">
        <w:rPr>
          <w:rtl w:val="0"/>
        </w:rPr>
        <w:t xml:space="preserve">ehind</w:t>
      </w:r>
      <w:r w:rsidRPr="00000000" w:rsidR="00000000" w:rsidDel="00000000">
        <w:rPr>
          <w:rFonts w:cs="Calibri" w:hAnsi="Calibri" w:eastAsia="Calibri" w:ascii="Calibri"/>
          <w:b w:val="0"/>
          <w:sz w:val="22"/>
          <w:rtl w:val="0"/>
        </w:rPr>
        <w:t xml:space="preserve"> planks as specified by architect and provided by installer (typically 1” thick 6 lb/ft3 density fiberglass)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Option</w:t>
      </w:r>
      <w:r w:rsidRPr="00000000" w:rsidR="00000000" w:rsidDel="00000000">
        <w:rPr>
          <w:rFonts w:cs="Calibri" w:hAnsi="Calibri" w:eastAsia="Calibri" w:ascii="Calibri"/>
          <w:b w:val="0"/>
          <w:sz w:val="22"/>
          <w:rtl w:val="0"/>
        </w:rPr>
        <w:t xml:space="preserve">: Additional groove behind tongue at edge required for t-bar clip installation detail</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Accessories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Edge molding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1 – T-shaped molding dimensions 13 mm x 44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 – Thick block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3 – Rounded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21 – Aluminum corner trim (single blade protrusion) 35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22 – Aluminum corner trim (arrow shaped unit) 10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23 – Aluminum corner trim (inside L-shape) 12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24 – Wood corner trim (solid block design) 30 mm x 30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25 – Wood end trim (rectangular design) 50 mm x 16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26 – Aluminum end trim (L-shape) 20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27 – Wood corner trim (L-shaped design) 30 mm x 30 mm</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T-bar turning clips for use in installation system with 15/16” heavy duty t-bar suspension grid provided by installer. XX clips required per square foot. Grid system to be installed at 24” on center with 24” cross tees. Suspension by wire is acceptable.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End fixing clip for use in installation system with 15/16” heavy duty t-bar suspension grid provided by installer. End clip to be used at start and finish of run of planks in lieu of a direct attachment with staple or other method.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Cutout insert for lighting/hvac/etc. Insert will be rectangular and without any grooves.  Will be available in widths of 128 mm, 256 mm, or 384 mm and will be fitted with tongue and groove to fit into sequence of planks. Length as specified by architect.</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Access Panel Hardware as specified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Metal Suspension Grid </w:t>
      </w:r>
      <w:r w:rsidRPr="00000000" w:rsidR="00000000" w:rsidDel="00000000">
        <w:rPr>
          <w:rFonts w:cs="Calibri" w:hAnsi="Calibri" w:eastAsia="Calibri" w:ascii="Calibri"/>
          <w:b w:val="0"/>
          <w:color w:val="00b0f0"/>
          <w:sz w:val="22"/>
          <w:rtl w:val="0"/>
        </w:rPr>
        <w:t xml:space="preserve">(if used in project)</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Metal T-Grid Suspension System: Provide standard interior Metal Heavy Duty 15/16” suspension T-Grid system using Main Runners, Cross-tees, Wall Angle or Shadow Moldings of types, structural classifications, and &lt;black/standard&gt; finishes indicated and that comply with applicable ASTM C 635 requirements. Comply with all applicable &lt;seismic&gt; codes and ordinances. </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Attachment Devices: Size for 3 times the design load indicated in ASTM C 635, Table 1, Direct Hung unless otherwise indicated.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Wire, Braces, Ties, Hanger Rods, Flat Hangers and Angle Hangers: Provide wires, rods and hangers that comply with applicable ASTM specifications.</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Manufacturing Quality Control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Manufacturing facility for planks shall be ISO 9001 certified and provide certification documentation upon request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Tolerance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Manufactured units will be fabricated with a tolerance of – 0.10 mm (for perforations); 0.50 mm (for final product dimensions)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br w:type="textWrapping"/>
        <w:t xml:space="preserve">PART 3 - EXECUTION</w:t>
        <w:br w:type="textWrapping"/>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Examination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planks,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Preparation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Layout – If necessary take field dimension measurements prior to fabrication of acoustical material and coordinate information with manufacturer. Contractor shall measure applicable areas to confirm location of panel supports in accordance with installation instructions.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Protection – Protect all adjacent surfaces from possible damage during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Installation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Install wood planks as per manufacturer’s guidelines, industry standards, and as they are shown in the architectural contract drawings.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Expansion and Contraction – Planks must be installed such that all transverse joints allow for the material to expand and contract with temperature and humidity changes. The joints at the short edge of the planks shall allow for gaps equal to 1 mm (0.039”) for every 1 m (39.37”) length of plank. Failure to follow this guideline will result in planks that buckle or warp over time.</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Coordination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all other work that interacts with wood plank system with general contractor and site superintendents. Contractor shall not use wood planking to support the weight of any other building element or component.</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Adjustment</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Adjust planks during installation and after to ensure that all surfaces, joints, and perforations are aligned, and that all units are flush, level and plumb. Adjust any access panels to ensure that all hardware is secure and that all panels are operable.</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Installation labor for removal and replacement of product deemed to be improperly installed and/or not conforming to specified installation instruction, shall be the responsibility of the installing contractor.</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Cleaning</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Clean exposed surfaces of planks after installation is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Upon completion of work, all exposed surfaces must be covered and protected from any damage or soiling until project substantial completion and owner occupancy.</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Repair</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Remove and replace at no additional charge any materials that cannot be repaired or cleaned to the Owner’s and Architect’s satisfaction.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Planks 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END OF SECTION</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0"/>
      </w:pPr>
      <w:rPr/>
    </w:lvl>
    <w:lvl w:ilvl="1">
      <w:start w:val="1"/>
      <w:numFmt w:val="decimal"/>
      <w:lvlText w:val="3.%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2">
    <w:lvl w:ilvl="0">
      <w:start w:val="1"/>
      <w:numFmt w:val="decimal"/>
      <w:lvlText w:val="%1"/>
      <w:lvlJc w:val="left"/>
      <w:pPr>
        <w:ind w:left="720" w:firstLine="0"/>
      </w:pPr>
      <w:rPr/>
    </w:lvl>
    <w:lvl w:ilvl="1">
      <w:start w:val="1"/>
      <w:numFmt w:val="decimal"/>
      <w:lvlText w:val="2.%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3">
    <w:lvl w:ilvl="0">
      <w:start w:val="1"/>
      <w:numFmt w:val="decimal"/>
      <w:lvlText w:val="%1"/>
      <w:lvlJc w:val="left"/>
      <w:pPr>
        <w:ind w:left="720" w:firstLine="0"/>
      </w:pPr>
      <w:rPr/>
    </w:lvl>
    <w:lvl w:ilvl="1">
      <w:start w:val="1"/>
      <w:numFmt w:val="decimal"/>
      <w:lvlText w:val="%1.%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60" w:line="259" w:before="480"/>
    </w:pPr>
    <w:rPr>
      <w:rFonts w:cs="Calibri" w:hAnsi="Calibri" w:eastAsia="Calibri" w:ascii="Calibri"/>
      <w:b w:val="1"/>
      <w:color w:val="345a8a"/>
      <w:sz w:val="32"/>
    </w:rPr>
  </w:style>
  <w:style w:styleId="Heading2" w:type="paragraph">
    <w:name w:val="heading 2"/>
    <w:basedOn w:val="Normal"/>
    <w:next w:val="Normal"/>
    <w:pPr>
      <w:keepNext w:val="1"/>
      <w:keepLines w:val="1"/>
      <w:spacing w:lineRule="auto" w:after="160" w:line="259" w:before="200"/>
    </w:pPr>
    <w:rPr>
      <w:rFonts w:cs="Calibri" w:hAnsi="Calibri" w:eastAsia="Calibri" w:ascii="Calibri"/>
      <w:b w:val="1"/>
      <w:color w:val="4f81bd"/>
      <w:sz w:val="26"/>
    </w:rPr>
  </w:style>
  <w:style w:styleId="Heading3" w:type="paragraph">
    <w:name w:val="heading 3"/>
    <w:basedOn w:val="Normal"/>
    <w:next w:val="Normal"/>
    <w:pPr>
      <w:keepNext w:val="1"/>
      <w:keepLines w:val="1"/>
      <w:spacing w:lineRule="auto" w:after="160" w:line="259" w:before="200"/>
    </w:pPr>
    <w:rPr>
      <w:rFonts w:cs="Calibri" w:hAnsi="Calibri" w:eastAsia="Calibri" w:ascii="Calibri"/>
      <w:b w:val="1"/>
      <w:color w:val="4f81bd"/>
      <w:sz w:val="24"/>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300" w:line="259" w:before="0"/>
    </w:pPr>
    <w:rPr>
      <w:rFonts w:cs="Calibri" w:hAnsi="Calibri" w:eastAsia="Calibri" w:ascii="Calibri"/>
      <w:b w:val="0"/>
      <w:color w:val="17365d"/>
      <w:sz w:val="52"/>
    </w:rPr>
  </w:style>
  <w:style w:styleId="Subtitle" w:type="paragraph">
    <w:name w:val="Subtitle"/>
    <w:basedOn w:val="Normal"/>
    <w:next w:val="Normal"/>
    <w:pPr>
      <w:keepNext w:val="1"/>
      <w:keepLines w:val="1"/>
      <w:spacing w:lineRule="auto" w:after="160" w:line="259" w:before="0"/>
    </w:pPr>
    <w:rPr>
      <w:rFonts w:cs="Calibri" w:hAnsi="Calibri" w:eastAsia="Calibri" w:ascii="Calibri"/>
      <w:b w:val="0"/>
      <w:i w:val="1"/>
      <w:color w:val="4f81bd"/>
      <w:sz w:val="24"/>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opakustik.com" Type="http://schemas.openxmlformats.org/officeDocument/2006/relationships/hyperlink" TargetMode="External" Id="rId6"/><Relationship Target="media/image01.jpg" Type="http://schemas.openxmlformats.org/officeDocument/2006/relationships/image" Id="rId5"/><Relationship Target="http://www.topakustik.com" Type="http://schemas.openxmlformats.org/officeDocument/2006/relationships/hyperlink" TargetMode="External" Id="rId7"/></Relationships>
</file>