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Topakustik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groove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100.0" w:type="dxa"/>
        <w:jc w:val="left"/>
        <w:tblInd w:w="71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20"/>
        <w:gridCol w:w="630"/>
        <w:gridCol w:w="720"/>
        <w:gridCol w:w="1116"/>
        <w:gridCol w:w="684"/>
        <w:gridCol w:w="720"/>
        <w:gridCol w:w="630"/>
        <w:gridCol w:w="720"/>
        <w:gridCol w:w="720"/>
        <w:gridCol w:w="720"/>
        <w:gridCol w:w="720"/>
        <w:tblGridChange w:id="0">
          <w:tblGrid>
            <w:gridCol w:w="720"/>
            <w:gridCol w:w="630"/>
            <w:gridCol w:w="720"/>
            <w:gridCol w:w="1116"/>
            <w:gridCol w:w="684"/>
            <w:gridCol w:w="720"/>
            <w:gridCol w:w="630"/>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Standard options: 5/3, 6/2, 8/3, 9/2, 12/4, 13/3, 14/2, 28/4, 29/3, 30/2 </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Where the first number describes the distance between grooves and the second number describes the width of the groove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M-hole perforation – single hole diameter from rear of plank to meet groove profile.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T-hole perforation – dual diameter holes on rear of panel. Smaller diameter hole meeting face of groove and larger diameter hole at rear of panel. This option will serve to increase low frequency absorption performance.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Reflective – No rear perforations behind face grooving. This option will have no acoustical absorption properties.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and grooves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128 mm (5.04”)</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w:t>
      </w:r>
      <w:r w:rsidRPr="00000000" w:rsidR="00000000" w:rsidDel="00000000">
        <w:rPr>
          <w:rtl w:val="0"/>
        </w:rPr>
        <w:t xml:space="preserve">h-profile</w:t>
      </w:r>
      <w:r w:rsidRPr="00000000" w:rsidR="00000000" w:rsidDel="00000000">
        <w:rPr>
          <w:rFonts w:cs="Calibri" w:hAnsi="Calibri" w:eastAsia="Calibri" w:ascii="Calibri"/>
          <w:b w:val="0"/>
          <w:sz w:val="22"/>
          <w:rtl w:val="0"/>
        </w:rPr>
        <w:t xml:space="preserve">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corner/termination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Turning clips for use in installation system with </w:t>
      </w:r>
      <w:r w:rsidRPr="00000000" w:rsidR="00000000" w:rsidDel="00000000">
        <w:rPr>
          <w:rtl w:val="0"/>
        </w:rPr>
        <w:t xml:space="preserve">H-profile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w:t>
      </w:r>
      <w:r w:rsidRPr="00000000" w:rsidR="00000000" w:rsidDel="00000000">
        <w:rPr>
          <w:rtl w:val="0"/>
        </w:rPr>
        <w:t xml:space="preserve">H-profile system</w:t>
      </w:r>
      <w:r w:rsidRPr="00000000" w:rsidR="00000000" w:rsidDel="00000000">
        <w:rPr>
          <w:rFonts w:cs="Calibri" w:hAnsi="Calibri" w:eastAsia="Calibri" w:ascii="Calibri"/>
          <w:b w:val="0"/>
          <w:sz w:val="22"/>
          <w:rtl w:val="0"/>
        </w:rPr>
        <w:t xml:space="preserve">.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128 mm, 256 mm, or 384 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tl w:val="0"/>
        </w:rPr>
        <w:t xml:space="preserve">Installation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Direct mount with either staple gun or finish nail gun to wood batten system.  Wood battens must run perpendicular to the direction of the plank grooves and grain and cannot be spaced any further than 24” apart.</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H-profile Installation - H-profile metal pieces provided by manufacturer to be mounted on wall perpendicular to the direction of the plank grooves and grain. Attachment to H-profile is through turning clip twisted onto H-profile and holding acoustic plank at an extra groove location behind the tongue. All planks MUST be supported against gravity with either a baseboard or a base trim that carries the weight of the planks.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